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E88C3">
      <w:pPr>
        <w:jc w:val="center"/>
        <w:rPr>
          <w:rFonts w:ascii="宋体" w:hAnsi="宋体" w:eastAsia="宋体" w:cs="宋体"/>
          <w:b/>
          <w:bCs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</w:rPr>
        <w:t>湖南农业大学子弟小学LED大屏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</w:rPr>
        <w:t>项目参数及采购需求</w:t>
      </w:r>
    </w:p>
    <w:p w14:paraId="145F1089">
      <w:pPr>
        <w:pStyle w:val="6"/>
        <w:ind w:firstLine="240"/>
        <w:rPr>
          <w:rFonts w:eastAsia="宋体" w:cs="宋体"/>
          <w:b/>
          <w:bCs w:val="0"/>
          <w:sz w:val="24"/>
          <w:szCs w:val="24"/>
          <w:u w:val="none"/>
        </w:rPr>
      </w:pPr>
      <w:r>
        <w:rPr>
          <w:rFonts w:hint="eastAsia" w:eastAsia="宋体" w:cs="宋体"/>
          <w:b/>
          <w:bCs w:val="0"/>
          <w:sz w:val="24"/>
          <w:szCs w:val="24"/>
          <w:u w:val="none"/>
        </w:rPr>
        <w:t>该项目最高限价为：</w:t>
      </w:r>
      <w:r>
        <w:rPr>
          <w:rFonts w:eastAsia="宋体" w:cs="宋体"/>
          <w:b/>
          <w:bCs w:val="0"/>
          <w:sz w:val="24"/>
          <w:szCs w:val="24"/>
          <w:u w:val="none"/>
        </w:rPr>
        <w:t>17.</w:t>
      </w:r>
      <w:r>
        <w:rPr>
          <w:rFonts w:hint="eastAsia" w:eastAsia="宋体" w:cs="宋体"/>
          <w:b/>
          <w:bCs w:val="0"/>
          <w:sz w:val="24"/>
          <w:szCs w:val="24"/>
          <w:u w:val="none"/>
          <w:lang w:val="en-US" w:eastAsia="zh-CN"/>
        </w:rPr>
        <w:t>4</w:t>
      </w:r>
      <w:r>
        <w:rPr>
          <w:rFonts w:eastAsia="宋体" w:cs="宋体"/>
          <w:b/>
          <w:bCs w:val="0"/>
          <w:sz w:val="24"/>
          <w:szCs w:val="24"/>
          <w:u w:val="none"/>
        </w:rPr>
        <w:t>16</w:t>
      </w:r>
      <w:r>
        <w:rPr>
          <w:rFonts w:hint="eastAsia" w:eastAsia="宋体" w:cs="宋体"/>
          <w:b/>
          <w:bCs w:val="0"/>
          <w:sz w:val="24"/>
          <w:szCs w:val="24"/>
          <w:u w:val="none"/>
        </w:rPr>
        <w:t>万元。</w:t>
      </w:r>
    </w:p>
    <w:tbl>
      <w:tblPr>
        <w:tblStyle w:val="8"/>
        <w:tblpPr w:leftFromText="180" w:rightFromText="180" w:vertAnchor="text" w:horzAnchor="margin" w:tblpX="-352" w:tblpY="404"/>
        <w:tblOverlap w:val="never"/>
        <w:tblW w:w="105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39"/>
        <w:gridCol w:w="5507"/>
        <w:gridCol w:w="1200"/>
        <w:gridCol w:w="1635"/>
      </w:tblGrid>
      <w:tr w14:paraId="5E326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F19E2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序号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0C047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货物名称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D4115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技术参数要求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67B93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数量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92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推荐品牌</w:t>
            </w:r>
          </w:p>
        </w:tc>
      </w:tr>
      <w:tr w14:paraId="78825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680EE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D01AD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室内单色LED显示屏</w:t>
            </w:r>
          </w:p>
          <w:p w14:paraId="3D4B9DC7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6342C">
            <w:pPr>
              <w:keepNext/>
              <w:keepLines/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1.像素结构：红色发光管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2.像素间距：≥4.75（mm）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3.灯珠尺寸：≥2121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4.模组尺寸：≥304×152（mm）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5.模组分辨率：≥64×32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6.模组面积：≥0.046（㎡）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7.像素密度：≥44321点/㎡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8.可视角：≥水平140º/垂直120º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9.亮度：≥300 cd/m²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10.刷新率：≥300 Hz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11.最佳视距：≤5m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12.峰值功耗：≥450W/㎡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13.平均功耗：≥150W/㎡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C4C28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4.30 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82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海康威视、皓视通，橙科</w:t>
            </w:r>
          </w:p>
        </w:tc>
      </w:tr>
      <w:tr w14:paraId="2195B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C5691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1BE70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控制卡</w:t>
            </w:r>
          </w:p>
          <w:p w14:paraId="34064F8C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38648">
            <w:pPr>
              <w:keepNext/>
              <w:keepLines/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 xml:space="preserve">单色:128*4096 160*3272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192*2720 240*2184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256*2048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36FD1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1张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81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灵雨星、中航、凯视达</w:t>
            </w:r>
          </w:p>
        </w:tc>
      </w:tr>
      <w:tr w14:paraId="24546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5282D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3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2FDF2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强电电缆</w:t>
            </w:r>
          </w:p>
          <w:p w14:paraId="7DBCF2CA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4FE37">
            <w:pPr>
              <w:keepNext/>
              <w:keepLines/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3*2.5平方电源线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93A87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 xml:space="preserve">1批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2F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绿联、德力西、珠江电力</w:t>
            </w:r>
          </w:p>
        </w:tc>
      </w:tr>
      <w:tr w14:paraId="5CF4E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69133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4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85867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信号线</w:t>
            </w:r>
          </w:p>
          <w:p w14:paraId="26A2C4A4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4EF7C">
            <w:pPr>
              <w:keepNext/>
              <w:keepLines/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屏体至处理器铺设超5类网线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44901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 xml:space="preserve">1批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187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绿联、秋叶原、晶华</w:t>
            </w:r>
          </w:p>
        </w:tc>
      </w:tr>
      <w:tr w14:paraId="00735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37414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5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8FA7B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单色屏钢结构及包边</w:t>
            </w:r>
          </w:p>
          <w:p w14:paraId="7042273A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E2B02">
            <w:pPr>
              <w:keepNext/>
              <w:keepLines/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框架采用LED屏专业铝型材边框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4BBE7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5.00 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94E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定制</w:t>
            </w:r>
          </w:p>
        </w:tc>
      </w:tr>
      <w:tr w14:paraId="4D6B9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CF546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6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A6A7A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室内P1.8全彩LED显示屏</w:t>
            </w:r>
          </w:p>
          <w:p w14:paraId="3145F3A1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3ACC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1.像素点间距≤1.86mm;像素密度≥288906点/㎡，每个像素点采用1纯红1纯绿1纯蓝三像素，表贴三合一封装，表面哑黑处理。</w:t>
            </w:r>
          </w:p>
          <w:p w14:paraId="00B81BB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2.模组分辨率（W×H）≤172x86；</w:t>
            </w:r>
          </w:p>
          <w:p w14:paraId="320B477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3.模组尺寸（mm）≤320mm×160mm；</w:t>
            </w:r>
          </w:p>
          <w:p w14:paraId="75C27FB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 xml:space="preserve">4.白平衡亮度 ≥600 cd/㎡；视角（水平/垂直°）≥ 160°/160°； </w:t>
            </w:r>
          </w:p>
          <w:p w14:paraId="41AA9E1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5.亮度均匀性 ≥99% ，对比度 ≥3000：1 ；色度均匀性±0.001Cx，</w:t>
            </w:r>
          </w:p>
          <w:p w14:paraId="4980556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6.刷新率≥3840Hz ；</w:t>
            </w:r>
          </w:p>
          <w:p w14:paraId="5B58A02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7．亮度0-600cd/㎡可调，256级无灰度损失调节，可通过定时器或传感器调节；色温1700K-15000K 连续可调；亮度、灰度、色温可有手动、自动、软件三种调节方式。</w:t>
            </w:r>
          </w:p>
          <w:p w14:paraId="720545F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▲8.依据 GB/T 20145-2006标准进行光生物安全评估检测,应属无危害类;光生物安全检测无危害类限值:30000s 曝辐中不造成光化学紫外危害(ES),并在1000s内不造成近紫外危害(EUVA),并在 10s内不造成对视网膜热危害 (LR),且在 1000s 内不造成对眼睛的红外辐射危害(EIR)。（提供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第三方检测机构出具的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检测报告复印件）</w:t>
            </w:r>
          </w:p>
          <w:p w14:paraId="4F5B203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9．支持通过 Web 浏览器查看 LED 整墙的概览信息和 LED 屏连线状态;支持查看行列网格展示屏幕接收卡规模,在Web 端鼠标移到网格上时,可展示该网格所属网口的所有接收卡单元并高亮展示,可展示网线连线顺序、网口号、工作状态。 （提供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第三方检测机构出具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的检测报告复印件）</w:t>
            </w:r>
          </w:p>
          <w:p w14:paraId="75EF395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▲10.支持从客户端、设备自带 Web 浏览器查看绑定的接收卡序号、接收卡型号、接收卡软件版本、网口 link 状态、接收卡电压、接收卡温度。（提供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第三方检测机构出具的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检测报告复印件）</w:t>
            </w:r>
          </w:p>
          <w:p w14:paraId="75779F4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11.支持设置文稿场景、影院场景、安防场景、常规场景、广告场景、视讯场景、HDR场景、自定义场景；</w:t>
            </w:r>
          </w:p>
          <w:p w14:paraId="0662CC4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12.支持射频遥控器和红外两种遥控器；在特定条件下，射频遥控器最远距离不小于8m，可穿过一层普通建筑物墙壁进行遥控；</w:t>
            </w:r>
          </w:p>
          <w:p w14:paraId="059FE7D8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u w:val="none"/>
                <w:lang w:val="en-US" w:eastAsia="zh-CN"/>
              </w:rPr>
              <w:t>13.供应商承诺在成交后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u w:val="none"/>
              </w:rPr>
              <w:t>提供原厂加盖厂家公章的售后服务承诺函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u w:val="none"/>
                <w:lang w:val="en-US" w:eastAsia="zh-CN"/>
              </w:rPr>
              <w:t>提供承诺函。</w:t>
            </w:r>
            <w:bookmarkEnd w:id="0"/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27BEF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 xml:space="preserve">18.500㎡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3A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海康威视、皓视通，橙科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14:paraId="558B7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5369E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7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D17FA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二合一发送卡</w:t>
            </w:r>
          </w:p>
          <w:p w14:paraId="034CA474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D9DB9">
            <w:pPr>
              <w:keepNext/>
              <w:keepLines/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机箱具备全彩OLED非触摸屏 分辨率128x64，，可随时查看设备状态信息，方便设备维护。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2、1U标准机箱 机架式设计，工业级机箱系统，设备前面板具备按键，可支持亮度调节、信源切换。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3、前面板具备指示灯，可提示设备上电状态、信号接入状态、运行状态等信息。</w:t>
            </w:r>
          </w:p>
          <w:p w14:paraId="0B589C20">
            <w:pPr>
              <w:keepNext/>
              <w:keepLines/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支持3路视频信号同时输入，其中：≥1个HDMI 2.0接口支持分辨率4096 × 2160@60 Hz，≥1个HDMI 1.4接口支持分辨率1920 × 1200@60 Hz，≥1个DVI接口支持分辨率1920 × 1200@60Hz。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支持帧率自适应，图像采集可支持25HZ~60HZ自适应。</w:t>
            </w:r>
          </w:p>
          <w:p w14:paraId="616A29E6">
            <w:pPr>
              <w:keepNext/>
              <w:keepLines/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图像带载输出支持RGB、YUV444无损画质，支持12路网口带载输出，每网口最大带载≥65W像素，产品最大带载≥780W像素。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6、支持HDMI音视频复合流输入，支持≥3.5mm音频输出，支持视频信号输入全屏缩放及自定义缩放；支持任意切换，拼接。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7、支持最多 ≥10个用户场景,可作为模板保存，可直接调用，方便使用。</w:t>
            </w:r>
          </w:p>
          <w:p w14:paraId="40D65830">
            <w:pPr>
              <w:keepNext/>
              <w:keepLines/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 xml:space="preserve">8、支持多窗口显示：支持≥7个窗口任意布局，其中≥3个信源窗口、≥2个图片窗口、≥1个滚动文字窗口、≥1个底图窗口。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1F809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1 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55F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海康威视、皓视通，橙科</w:t>
            </w:r>
          </w:p>
        </w:tc>
      </w:tr>
      <w:tr w14:paraId="588F4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4C592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8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C5B50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多媒体协作智能终端</w:t>
            </w:r>
          </w:p>
          <w:p w14:paraId="6C3C6CD8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7EDC5">
            <w:pPr>
              <w:keepNext/>
              <w:keepLines/>
              <w:widowControl/>
              <w:jc w:val="left"/>
              <w:textAlignment w:val="center"/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一、</w:t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硬件系统：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1、</w:t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操作系统：支持Android 11.0及其以上系统;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2、</w:t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CPU：四核64位Cortex-A55以上;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3、</w:t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内存：≥4G;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4、</w:t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存储：≥16G;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5、显示分辨率：支持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≥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3840*2160输出分辨率;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6、视频接口：≥1路HDMI输出；≥1路HDMI输入; 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7、音频接口：提供1个3.5mm音频输出；1个3.5mm音频输入;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8、USB接口：≥1个USB2.0；≥1个Type-C；≥4个USB 3.0；≥1个MircoUSB；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9、无线网络：提供双WiFi模组配置；支持2.4G+5G；需支持WiFi6；支持AP热点、STA终端连接、WiFi P2P工作模式；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10、</w:t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有线网络：≥1个10/100/1000Mbps以太网RJ45接口;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11、</w:t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天线：内置天线;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12、</w:t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电源：DC12V3A;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13、开机时长：＜30s;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二、</w:t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软件系统：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1、无线投屏：需支持Android、iOS、windows、MAC智能终端不装软件方式直接投屏，兼容Airplay、Miracast、Googlcast、HUAWEI Cast+传屏协议；（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提供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第三方检测机构出具的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检测报告复印件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）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2、客户端投屏：可兼容Android、iOS、MacOS、Windows、麒麟/统信等国产操作系统软件客户端投屏；支持扫码投屏和投屏码投屏；客户端投屏支持跨网段/跨VLAN投屏；；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3、网页投屏：支持网页浏览器，局域网内输入IP地址或者投屏码直接投屏，无需安装软件；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4、按键发射器：可选配USB/HDMI/Type-C三种接口的按键发射器，支持一键投屏；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5、AOA线连投屏：支持Android设备通过USB线连投屏；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6、投屏PIN码：支持投屏安全加密，兼容Airplay、Miracast 、Cast+ PIN码，可有效避免误投；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7、</w:t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投屏时延：≤150ms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8、投屏距离：局域网投屏无距离限制；点对点投屏（无阻挡）最大可至40m；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9、投屏水印：支持投屏画面显示投屏环境水印信息（设备名称、当前房间号、时间等），方便信息追溯；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10、抢投模式：提供抢投开启和关闭功能，允许或者禁止下一个用户的投屏画面抢占当前显示画面；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11、投屏反控：支持USB Touch，支持Android手机和Windows/Mac电脑投屏反向控制；（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提供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第三方检测机构出具的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检测报告复印件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）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12、HDMI IN反控：提供HDMI IN信源反控功能，Windows电脑或OPS信号通过HDMI IN接入智能盒子，可通过连接智能盒子的触摸显示屏反向控制Windows电脑或OPS； 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13、BYOM无线会议：支持BYOM功能，可实现电脑无线连接会议室AV设备（USB摄像机、麦克风、音响等），支持Teams、Zoom、腾讯会议、钉钉等视频会议平台；）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14、语音字幕：支持将语音实时转换成字幕信息，支持保存、导出；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15、内置视频会议：设备不与会议软件绑定，支持与主流视频会议软件兼容，可预装包括但不限于腾讯会议、钉钉会议、飞书会议等视频会议软件；（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提供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第三方检测机构出具的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检测报告复印件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）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16、多画面显示：最大可支持16路投屏终端同时无线投屏显示，能够在显示终端上自适应进行1、2、3、4、6、8、9、16多窗口显示切换。多屏画面布局下，支持对单一显示画面静音、全屏或移出操作； 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17、自定义布局显示：支持自定义多画面布局设置，提供Auto、单屏、画中画、三宫格、四宫格、五宫格、六宫格、八宫格、九宫格、十六宫格布局； 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18、镜像显示：支持多台智能设备组网实现镜像显示，实现一投多功能；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19、主持人预览：支持主持人模式，投屏画面支持侧边工具栏预览展示，主持人可控制投屏预览画面在主屏幕显示，也可退出主屏幕； 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20、弱网传输：支持弱网传输对抗，可在10%~20%的网络丢包率情况下仍能流畅稳定投屏；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21、屏幕工具栏：显示侧边栏设备功能按钮区域，用户可直接在触控显示屏上触控操作，也可在系统设备上连接USB鼠标点击工具条上的功能来控制，具有信号源切换、电子白板、批注、会议、设置等功能按钮。工具栏支持自用隐藏；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22、</w:t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UI主题：内置多套UI设计模板，可自定义选择UI风格；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23、电子白板：内置电子白板功能，可流畅书写，支持多彩画笔、屏幕清除、内容圈画、书写移动、内容复制、文件保存、背景更换、图片插入、二维码分享等功能；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24、批注功能：支持对当前屏幕的批注，提供多彩画笔标注，支持批注保存、二维码扫码浏览保存功能；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25、OPS显示联动：支持智能盒子Type-C接口与OPS主机USB接口直连，实现无线投屏画面直接在OPS Windows界面进行显示和功能操控，无需切换HDMI信号源；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26、</w:t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开机壁纸动画：支持自定义更换系统壁纸和开机动画，循环播放；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27、网页壁纸：支持将网页页面设置成开机壁纸，网页支持在线操作；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28、信息发布：内置图片、视频、字幕推送功能，通过web管理系统或统一管理平台，可自定义设置信息发布的内容和发布； 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29、U盘浏览：支持U盘浏览功能，支持图片、视频等文件浏览播放；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30、RTSP流媒体：支持RTSP流媒体服务，可对接录播服务器；）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31、投屏状态监测：支持投屏分辨率、丢包率、码率、帧率及信号强度信息显示；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32、WEB管理：互动终端支持web管理控制，通过web管理可远程进行设备参数配置和产品运维；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33、联动开关机：支持智能盒子与显示设备联动开关机；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34、</w:t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自动开关机：支持定时开关机，延时开关机，定时重启功能；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35、集控管理：可接入统一管理平台，支持远程管控，支持统一运维管控；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>36、中控API：可提供控制API接口，可与外部中控、智慧讲台等物联网设备集成对接；</w:t>
            </w:r>
          </w:p>
          <w:p w14:paraId="62697302">
            <w:pPr>
              <w:keepNext/>
              <w:keepLines/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37、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u w:val="none"/>
                <w:lang w:val="en-US" w:eastAsia="zh-CN"/>
              </w:rPr>
              <w:t>供应商承诺在成交后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u w:val="none"/>
              </w:rPr>
              <w:t>提供三年售后服务承诺函原件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u w:val="none"/>
                <w:lang w:val="en-US" w:eastAsia="zh-CN"/>
              </w:rPr>
              <w:t>提供承诺函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u w:val="none"/>
              </w:rPr>
              <w:t>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E08C5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1 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316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必捷、鹏畅、弘光智芯</w:t>
            </w:r>
          </w:p>
        </w:tc>
      </w:tr>
      <w:tr w14:paraId="3A649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4F80B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9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C7451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电脑</w:t>
            </w:r>
          </w:p>
          <w:p w14:paraId="15E6185F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73BB8">
            <w:pPr>
              <w:keepNext/>
              <w:keepLines/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 xml:space="preserve">1、CPU≥2.9GHz主频 8核/内存≥128GB/固态≥512G SSD/≥6G独显/Win10 /配套≥23.8寸显示器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AB1B9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1 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E2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惠普、中科可控、宏基</w:t>
            </w:r>
          </w:p>
        </w:tc>
      </w:tr>
      <w:tr w14:paraId="53920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1CC78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10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DF2EF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配电箱</w:t>
            </w:r>
          </w:p>
          <w:p w14:paraId="10807427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D7E68">
            <w:pPr>
              <w:keepNext/>
              <w:keepLines/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输入电压：≥380V</w:t>
            </w:r>
          </w:p>
          <w:p w14:paraId="383755D8">
            <w:pPr>
              <w:keepNext/>
              <w:keepLines/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输出电压：≥220V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3、额定功率：≥20KW</w:t>
            </w:r>
          </w:p>
          <w:p w14:paraId="3DE505D4">
            <w:pPr>
              <w:keepNext/>
              <w:keepLines/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 xml:space="preserve">输出回路：≥3个单相回路（AC220V）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5、每路输出最大带载功率：≤3.33KW</w:t>
            </w:r>
          </w:p>
          <w:p w14:paraId="161D5F00">
            <w:pPr>
              <w:keepNext/>
              <w:keepLines/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 xml:space="preserve">6、回路状态监测：单回路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23353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1个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7FD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德力西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、西门子、施耐德</w:t>
            </w:r>
          </w:p>
        </w:tc>
      </w:tr>
      <w:tr w14:paraId="66624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07378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11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A88CC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钢结构及包边</w:t>
            </w:r>
          </w:p>
          <w:p w14:paraId="690BDE8C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F01E1">
            <w:pPr>
              <w:keepNext/>
              <w:keepLines/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1、框架采用LED屏不锈钢边框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7F3AC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 xml:space="preserve">19.500㎡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BEC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定制</w:t>
            </w:r>
          </w:p>
        </w:tc>
      </w:tr>
      <w:tr w14:paraId="6F282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76A7C">
            <w:pPr>
              <w:keepNext/>
              <w:keepLines/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6E95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bidi="ar"/>
              </w:rPr>
              <w:t>交换机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DBCD">
            <w:pPr>
              <w:keepNext/>
              <w:keepLines/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bidi="ar"/>
              </w:rPr>
              <w:t>1、三层网管交换机，交换容量396Gbps/3.96Tbps，包转发率108Mpps/144Mpps，24口10/100/1000Mbps自适应电口交换机，固化4个SFP千兆光口，支持静态路由、三层聚合口、ACL、端口镜像等功能。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BB263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656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锐捷、华三、华为</w:t>
            </w:r>
          </w:p>
        </w:tc>
      </w:tr>
      <w:tr w14:paraId="58928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9D247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4D69D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线材</w:t>
            </w:r>
          </w:p>
          <w:p w14:paraId="6D4F363D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A49A9">
            <w:pPr>
              <w:keepNext/>
              <w:keepLines/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1、LED屏幕屏体内磁铁、配电间至控制室电源电缆，信号收发网线，屏幕连接电缆，数据排线及外箱包裹材料，音视频电缆及配套排线和网线及其它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89F5A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1批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1A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国标</w:t>
            </w:r>
          </w:p>
        </w:tc>
      </w:tr>
      <w:tr w14:paraId="252F4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CA3AE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FF4B2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技术服务费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B2A21">
            <w:pPr>
              <w:keepNext/>
              <w:keepLines/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1、LED安装调试费：LED大屏安装、安装电源、接收卡、发送卡、控制卡、配电柜、模组、控制软件、单色屏大屏安装、钢架焊接安装等、高空作业；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C092F">
            <w:pPr>
              <w:keepNext/>
              <w:keepLines/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1项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917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定制</w:t>
            </w:r>
          </w:p>
        </w:tc>
      </w:tr>
    </w:tbl>
    <w:p w14:paraId="440EE355">
      <w:pPr>
        <w:pStyle w:val="6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</w:p>
    <w:sectPr>
      <w:pgSz w:w="11906" w:h="16838"/>
      <w:pgMar w:top="1418" w:right="567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1D6CE5"/>
    <w:multiLevelType w:val="singleLevel"/>
    <w:tmpl w:val="D21D6CE5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F32F43DE"/>
    <w:multiLevelType w:val="singleLevel"/>
    <w:tmpl w:val="F32F43D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A81258D"/>
    <w:multiLevelType w:val="singleLevel"/>
    <w:tmpl w:val="5A81258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NzI3YjAyMzhhMjA2OGE0N2VhNDdhNzgzOGM5NjEifQ=="/>
    <w:docVar w:name="KSO_WPS_MARK_KEY" w:val="634d8333-e974-45c1-81ea-44a26a5e8c25"/>
  </w:docVars>
  <w:rsids>
    <w:rsidRoot w:val="03AE5E34"/>
    <w:rsid w:val="0008683B"/>
    <w:rsid w:val="00091FF0"/>
    <w:rsid w:val="00097079"/>
    <w:rsid w:val="001172A9"/>
    <w:rsid w:val="001244F6"/>
    <w:rsid w:val="00151E80"/>
    <w:rsid w:val="0017232E"/>
    <w:rsid w:val="00195218"/>
    <w:rsid w:val="00211FD2"/>
    <w:rsid w:val="002C74BB"/>
    <w:rsid w:val="002D4708"/>
    <w:rsid w:val="003266C4"/>
    <w:rsid w:val="00383C67"/>
    <w:rsid w:val="003A73FA"/>
    <w:rsid w:val="003B7876"/>
    <w:rsid w:val="003F5D4B"/>
    <w:rsid w:val="004051BD"/>
    <w:rsid w:val="004135F1"/>
    <w:rsid w:val="0044262D"/>
    <w:rsid w:val="004700EE"/>
    <w:rsid w:val="0053721D"/>
    <w:rsid w:val="00564F2A"/>
    <w:rsid w:val="005A292A"/>
    <w:rsid w:val="00644AA3"/>
    <w:rsid w:val="00667D09"/>
    <w:rsid w:val="006A03FB"/>
    <w:rsid w:val="006B78AE"/>
    <w:rsid w:val="006F3565"/>
    <w:rsid w:val="0070481B"/>
    <w:rsid w:val="00717CCD"/>
    <w:rsid w:val="00780650"/>
    <w:rsid w:val="007E3B56"/>
    <w:rsid w:val="00801297"/>
    <w:rsid w:val="00801EE7"/>
    <w:rsid w:val="00805003"/>
    <w:rsid w:val="0082042F"/>
    <w:rsid w:val="00822A41"/>
    <w:rsid w:val="00855293"/>
    <w:rsid w:val="00880D23"/>
    <w:rsid w:val="00884050"/>
    <w:rsid w:val="008B1172"/>
    <w:rsid w:val="00947CFE"/>
    <w:rsid w:val="00957B68"/>
    <w:rsid w:val="00A86045"/>
    <w:rsid w:val="00AF5DF6"/>
    <w:rsid w:val="00B10464"/>
    <w:rsid w:val="00B4477A"/>
    <w:rsid w:val="00B4546E"/>
    <w:rsid w:val="00B53537"/>
    <w:rsid w:val="00B71E42"/>
    <w:rsid w:val="00B72E6C"/>
    <w:rsid w:val="00BA41FD"/>
    <w:rsid w:val="00BE3B89"/>
    <w:rsid w:val="00BE4CBE"/>
    <w:rsid w:val="00C22426"/>
    <w:rsid w:val="00C23B86"/>
    <w:rsid w:val="00C624EA"/>
    <w:rsid w:val="00C8031A"/>
    <w:rsid w:val="00C82DAA"/>
    <w:rsid w:val="00CA665C"/>
    <w:rsid w:val="00CB38CD"/>
    <w:rsid w:val="00CE5336"/>
    <w:rsid w:val="00D57387"/>
    <w:rsid w:val="00D6443C"/>
    <w:rsid w:val="00D67B7F"/>
    <w:rsid w:val="00DA0A86"/>
    <w:rsid w:val="00DB34A8"/>
    <w:rsid w:val="00DB3693"/>
    <w:rsid w:val="00DF3BB2"/>
    <w:rsid w:val="00DF4900"/>
    <w:rsid w:val="00E76F1A"/>
    <w:rsid w:val="00E831D8"/>
    <w:rsid w:val="00ED36C8"/>
    <w:rsid w:val="00EF02B4"/>
    <w:rsid w:val="00F35A2E"/>
    <w:rsid w:val="00F631AE"/>
    <w:rsid w:val="00F631C7"/>
    <w:rsid w:val="00FA598B"/>
    <w:rsid w:val="00FC729E"/>
    <w:rsid w:val="016A060B"/>
    <w:rsid w:val="028A1616"/>
    <w:rsid w:val="02A1526F"/>
    <w:rsid w:val="02F233FB"/>
    <w:rsid w:val="03A762C0"/>
    <w:rsid w:val="03AE5E34"/>
    <w:rsid w:val="03D925D0"/>
    <w:rsid w:val="03F62DA4"/>
    <w:rsid w:val="048C54B6"/>
    <w:rsid w:val="04FF3EDA"/>
    <w:rsid w:val="055605DD"/>
    <w:rsid w:val="05E119FE"/>
    <w:rsid w:val="06450047"/>
    <w:rsid w:val="06E65352"/>
    <w:rsid w:val="086B4D3C"/>
    <w:rsid w:val="097E4AD6"/>
    <w:rsid w:val="09B14CEA"/>
    <w:rsid w:val="09CF031F"/>
    <w:rsid w:val="0B2E72C7"/>
    <w:rsid w:val="0D8D1318"/>
    <w:rsid w:val="0E0B1B42"/>
    <w:rsid w:val="0E514E7D"/>
    <w:rsid w:val="0EB656C9"/>
    <w:rsid w:val="0F087E2F"/>
    <w:rsid w:val="0F566DED"/>
    <w:rsid w:val="0FC71A98"/>
    <w:rsid w:val="103D690C"/>
    <w:rsid w:val="104D01F0"/>
    <w:rsid w:val="105F235E"/>
    <w:rsid w:val="121865DB"/>
    <w:rsid w:val="13220F98"/>
    <w:rsid w:val="132972A0"/>
    <w:rsid w:val="14B4083D"/>
    <w:rsid w:val="14CB05BE"/>
    <w:rsid w:val="177B7D38"/>
    <w:rsid w:val="17B172B6"/>
    <w:rsid w:val="18FB2DAF"/>
    <w:rsid w:val="1A0737AE"/>
    <w:rsid w:val="1A5F5FDD"/>
    <w:rsid w:val="1A9D6217"/>
    <w:rsid w:val="1C346708"/>
    <w:rsid w:val="1D8A2A83"/>
    <w:rsid w:val="1DE205DD"/>
    <w:rsid w:val="1DFA60ED"/>
    <w:rsid w:val="1E4603BA"/>
    <w:rsid w:val="1FEA1F2D"/>
    <w:rsid w:val="209D46FE"/>
    <w:rsid w:val="213F5933"/>
    <w:rsid w:val="229C1498"/>
    <w:rsid w:val="22E47AE1"/>
    <w:rsid w:val="23A75A11"/>
    <w:rsid w:val="25F34F3E"/>
    <w:rsid w:val="265F01F0"/>
    <w:rsid w:val="269E30FB"/>
    <w:rsid w:val="27595274"/>
    <w:rsid w:val="27C6290A"/>
    <w:rsid w:val="27D57632"/>
    <w:rsid w:val="28F12D6C"/>
    <w:rsid w:val="2A30050E"/>
    <w:rsid w:val="2ACD3FAF"/>
    <w:rsid w:val="2C0D4B61"/>
    <w:rsid w:val="2C4956C5"/>
    <w:rsid w:val="2C9F0A56"/>
    <w:rsid w:val="2DD35D80"/>
    <w:rsid w:val="2E426A62"/>
    <w:rsid w:val="2F6D3FB3"/>
    <w:rsid w:val="2FE13A17"/>
    <w:rsid w:val="30D37E45"/>
    <w:rsid w:val="31A857DE"/>
    <w:rsid w:val="33CC41E2"/>
    <w:rsid w:val="33DA14EB"/>
    <w:rsid w:val="349949CC"/>
    <w:rsid w:val="34E16FD5"/>
    <w:rsid w:val="35070805"/>
    <w:rsid w:val="37BF35F3"/>
    <w:rsid w:val="38353742"/>
    <w:rsid w:val="395A4E2F"/>
    <w:rsid w:val="39CA100C"/>
    <w:rsid w:val="3A887EF3"/>
    <w:rsid w:val="3AB900AC"/>
    <w:rsid w:val="3B102C79"/>
    <w:rsid w:val="3B5A363D"/>
    <w:rsid w:val="3BF84392"/>
    <w:rsid w:val="3C375E03"/>
    <w:rsid w:val="3C5E53AF"/>
    <w:rsid w:val="3C9D1359"/>
    <w:rsid w:val="3D1E54EE"/>
    <w:rsid w:val="3E4F2D58"/>
    <w:rsid w:val="3F5F1179"/>
    <w:rsid w:val="3F97351C"/>
    <w:rsid w:val="40245670"/>
    <w:rsid w:val="40786313"/>
    <w:rsid w:val="41594397"/>
    <w:rsid w:val="41F540C0"/>
    <w:rsid w:val="423D26D0"/>
    <w:rsid w:val="425444C4"/>
    <w:rsid w:val="43432C09"/>
    <w:rsid w:val="43C57AC2"/>
    <w:rsid w:val="440F6F8F"/>
    <w:rsid w:val="44DC6B82"/>
    <w:rsid w:val="4530540F"/>
    <w:rsid w:val="47765498"/>
    <w:rsid w:val="479E4317"/>
    <w:rsid w:val="48496F13"/>
    <w:rsid w:val="4A7417D2"/>
    <w:rsid w:val="4B5C0D0B"/>
    <w:rsid w:val="4B661B8A"/>
    <w:rsid w:val="4BB46D99"/>
    <w:rsid w:val="4C121D12"/>
    <w:rsid w:val="4C2B3F80"/>
    <w:rsid w:val="4D16313C"/>
    <w:rsid w:val="4E6025B1"/>
    <w:rsid w:val="4EAD187E"/>
    <w:rsid w:val="516C77CE"/>
    <w:rsid w:val="51AF51E8"/>
    <w:rsid w:val="51CE6421"/>
    <w:rsid w:val="52915FD8"/>
    <w:rsid w:val="541A1764"/>
    <w:rsid w:val="54D264E2"/>
    <w:rsid w:val="551B5793"/>
    <w:rsid w:val="5566648C"/>
    <w:rsid w:val="55E62245"/>
    <w:rsid w:val="574801EB"/>
    <w:rsid w:val="57637EFE"/>
    <w:rsid w:val="57AF6667"/>
    <w:rsid w:val="58097B3E"/>
    <w:rsid w:val="5838665C"/>
    <w:rsid w:val="593C217C"/>
    <w:rsid w:val="598F43AD"/>
    <w:rsid w:val="5BF77C84"/>
    <w:rsid w:val="5D69550A"/>
    <w:rsid w:val="5DE018F3"/>
    <w:rsid w:val="5FA240AA"/>
    <w:rsid w:val="5FDB1B8F"/>
    <w:rsid w:val="60CF055E"/>
    <w:rsid w:val="625A6715"/>
    <w:rsid w:val="62CE653B"/>
    <w:rsid w:val="63873032"/>
    <w:rsid w:val="63AB687C"/>
    <w:rsid w:val="641E215E"/>
    <w:rsid w:val="64492324"/>
    <w:rsid w:val="659B022A"/>
    <w:rsid w:val="66147279"/>
    <w:rsid w:val="66263F98"/>
    <w:rsid w:val="676A0751"/>
    <w:rsid w:val="67FA56DC"/>
    <w:rsid w:val="68604A83"/>
    <w:rsid w:val="6B2225B1"/>
    <w:rsid w:val="6B2F2DBB"/>
    <w:rsid w:val="6C953C26"/>
    <w:rsid w:val="6CFD4CC0"/>
    <w:rsid w:val="6D075427"/>
    <w:rsid w:val="6D4A0EB4"/>
    <w:rsid w:val="6D571CF3"/>
    <w:rsid w:val="6D8C682C"/>
    <w:rsid w:val="6E626192"/>
    <w:rsid w:val="6EAB7671"/>
    <w:rsid w:val="6EBF7398"/>
    <w:rsid w:val="6FA62C9D"/>
    <w:rsid w:val="7081142A"/>
    <w:rsid w:val="70BB5B4F"/>
    <w:rsid w:val="71583E2F"/>
    <w:rsid w:val="7162066C"/>
    <w:rsid w:val="7268416D"/>
    <w:rsid w:val="72E15BEA"/>
    <w:rsid w:val="72EB1D90"/>
    <w:rsid w:val="7467234B"/>
    <w:rsid w:val="754710FC"/>
    <w:rsid w:val="75952EE8"/>
    <w:rsid w:val="75B31768"/>
    <w:rsid w:val="76D417EE"/>
    <w:rsid w:val="77713ED2"/>
    <w:rsid w:val="77C0283B"/>
    <w:rsid w:val="781E0351"/>
    <w:rsid w:val="79E1494E"/>
    <w:rsid w:val="79ED4B0D"/>
    <w:rsid w:val="7A447BE2"/>
    <w:rsid w:val="7C257585"/>
    <w:rsid w:val="7C480CB4"/>
    <w:rsid w:val="7D2E19BA"/>
    <w:rsid w:val="7E6B47E6"/>
    <w:rsid w:val="7EFA3D2E"/>
    <w:rsid w:val="7FF0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1"/>
      <w:u w:val="double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360" w:lineRule="auto"/>
    </w:pPr>
    <w:rPr>
      <w:rFonts w:ascii="宋体" w:hAnsi="宋体"/>
      <w:sz w:val="28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autoRedefine/>
    <w:qFormat/>
    <w:uiPriority w:val="0"/>
    <w:pPr>
      <w:ind w:firstLine="420" w:firstLineChars="100"/>
    </w:pPr>
  </w:style>
  <w:style w:type="paragraph" w:styleId="7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customStyle="1" w:styleId="10">
    <w:name w:val="Plain Text1"/>
    <w:autoRedefine/>
    <w:qFormat/>
    <w:uiPriority w:val="99"/>
    <w:rPr>
      <w:rFonts w:ascii="宋体" w:hAnsi="Courier New" w:cs="Times New Roman" w:eastAsiaTheme="minorEastAsia"/>
      <w:sz w:val="21"/>
      <w:lang w:val="en-US" w:eastAsia="zh-CN" w:bidi="ar-SA"/>
    </w:rPr>
  </w:style>
  <w:style w:type="paragraph" w:customStyle="1" w:styleId="11">
    <w:name w:val="纯文本1"/>
    <w:autoRedefine/>
    <w:qFormat/>
    <w:uiPriority w:val="0"/>
    <w:rPr>
      <w:rFonts w:ascii="宋体" w:hAnsi="Courier New" w:cs="Times New Roman" w:eastAsiaTheme="minorEastAsia"/>
      <w:sz w:val="21"/>
      <w:lang w:val="en-US" w:eastAsia="zh-CN" w:bidi="ar-SA"/>
    </w:rPr>
  </w:style>
  <w:style w:type="character" w:customStyle="1" w:styleId="12">
    <w:name w:val="页眉 字符"/>
    <w:basedOn w:val="9"/>
    <w:link w:val="5"/>
    <w:autoRedefine/>
    <w:qFormat/>
    <w:uiPriority w:val="0"/>
    <w:rPr>
      <w:kern w:val="2"/>
      <w:sz w:val="18"/>
      <w:szCs w:val="18"/>
      <w:u w:val="double"/>
    </w:rPr>
  </w:style>
  <w:style w:type="character" w:customStyle="1" w:styleId="13">
    <w:name w:val="页脚 字符"/>
    <w:basedOn w:val="9"/>
    <w:link w:val="4"/>
    <w:autoRedefine/>
    <w:qFormat/>
    <w:uiPriority w:val="0"/>
    <w:rPr>
      <w:kern w:val="2"/>
      <w:sz w:val="18"/>
      <w:szCs w:val="18"/>
      <w:u w:val="double"/>
    </w:rPr>
  </w:style>
  <w:style w:type="character" w:customStyle="1" w:styleId="14">
    <w:name w:val="font41"/>
    <w:basedOn w:val="9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15">
    <w:name w:val="font21"/>
    <w:basedOn w:val="9"/>
    <w:qFormat/>
    <w:uiPriority w:val="0"/>
    <w:rPr>
      <w:rFonts w:hint="eastAsia" w:ascii="Microsoft YaHei UI" w:hAnsi="Microsoft YaHei UI" w:eastAsia="Microsoft YaHei UI" w:cs="Microsoft YaHei UI"/>
      <w:color w:val="000000"/>
      <w:sz w:val="16"/>
      <w:szCs w:val="16"/>
      <w:u w:val="none"/>
    </w:rPr>
  </w:style>
  <w:style w:type="character" w:customStyle="1" w:styleId="16">
    <w:name w:val="font61"/>
    <w:basedOn w:val="9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17">
    <w:name w:val="font3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Hunan Agricultural University</Company>
  <Pages>5</Pages>
  <Words>3694</Words>
  <Characters>4555</Characters>
  <Lines>38</Lines>
  <Paragraphs>10</Paragraphs>
  <TotalTime>2</TotalTime>
  <ScaleCrop>false</ScaleCrop>
  <LinksUpToDate>false</LinksUpToDate>
  <CharactersWithSpaces>4649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2024-06-19T04:54:00Z</dcterms:created>
  <dc:creator>Administrator</dc:creator>
  <cp:lastModifiedBy>天天向上</cp:lastModifiedBy>
  <cp:lastPrinted>2025-08-21T08:49:00Z</cp:lastPrinted>
  <dcterms:modified xsi:type="dcterms:W3CDTF">2025-09-16T05:29:48Z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35313F49C6D442B49EEE6A210D6602CA_13</vt:lpwstr>
  </property>
  <property fmtid="{D5CDD505-2E9C-101B-9397-08002B2CF9AE}" pid="4" name="KSOTemplateDocerSaveRecord">
    <vt:lpwstr>eyJoZGlkIjoiZTgwMTkxMjJhNjNmMWFjZWZhODZiODdlZDM4ZjMzN2YiLCJ1c2VySWQiOiI0OTA1NzM5MDUifQ==</vt:lpwstr>
  </property>
</Properties>
</file>